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0B08" w14:textId="522DBA2A" w:rsidR="00457029" w:rsidRPr="00027F90" w:rsidRDefault="00B13C7C" w:rsidP="00457029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Electric Susceptibility</w:t>
      </w:r>
    </w:p>
    <w:p w14:paraId="5D6E51E2" w14:textId="782152DC" w:rsidR="00457029" w:rsidRDefault="00457029" w:rsidP="00457029">
      <w:pPr>
        <w:pStyle w:val="NoSpacing"/>
      </w:pPr>
    </w:p>
    <w:p w14:paraId="3174C6C5" w14:textId="77777777" w:rsidR="004147B3" w:rsidRDefault="004147B3" w:rsidP="00457029">
      <w:pPr>
        <w:pStyle w:val="NoSpacing"/>
      </w:pPr>
    </w:p>
    <w:p w14:paraId="2A6ADB31" w14:textId="77777777" w:rsidR="00E04D6F" w:rsidRDefault="00E04D6F" w:rsidP="00E04D6F">
      <w:pPr>
        <w:rPr>
          <w:rFonts w:ascii="Calibri" w:hAnsi="Calibri" w:cs="Calibri"/>
        </w:rPr>
      </w:pPr>
      <w:r>
        <w:rPr>
          <w:rFonts w:ascii="Calibri" w:hAnsi="Calibri" w:cs="Calibri"/>
        </w:rPr>
        <w:t>So recall in the Free Day/Electrons/Nonequilibrium/Electric Susceptibility file the discussion we had concerning introducing some free charge density to the vicinity of a material, and then measuring/observing the resultant charge density that it induced in our material.  We wrote it in terms off overall potential itself.  We said,</w:t>
      </w:r>
    </w:p>
    <w:p w14:paraId="6067B7B9" w14:textId="77777777" w:rsidR="00E04D6F" w:rsidRDefault="00E04D6F" w:rsidP="00E04D6F">
      <w:pPr>
        <w:pStyle w:val="NoSpacing"/>
      </w:pPr>
    </w:p>
    <w:p w14:paraId="060014A5" w14:textId="41F1A8D1" w:rsidR="00E04D6F" w:rsidRPr="00877323" w:rsidRDefault="004E2DFD" w:rsidP="00E04D6F">
      <w:pPr>
        <w:pStyle w:val="NoSpacing"/>
        <w:rPr>
          <w:sz w:val="24"/>
          <w:szCs w:val="24"/>
        </w:rPr>
      </w:pPr>
      <w:r w:rsidRPr="00877323">
        <w:rPr>
          <w:position w:val="-12"/>
          <w:sz w:val="24"/>
          <w:szCs w:val="24"/>
        </w:rPr>
        <w:object w:dxaOrig="2799" w:dyaOrig="380" w14:anchorId="0A8181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71.25pt;height:20.75pt" o:ole="" fillcolor="#cfc">
            <v:imagedata r:id="rId6" o:title=""/>
          </v:shape>
          <o:OLEObject Type="Embed" ProgID="Equation.DSMT4" ShapeID="_x0000_i1040" DrawAspect="Content" ObjectID="_1723550648" r:id="rId7"/>
        </w:object>
      </w:r>
    </w:p>
    <w:p w14:paraId="4C24A8A6" w14:textId="77777777" w:rsidR="00E04D6F" w:rsidRDefault="00E04D6F" w:rsidP="00E04D6F">
      <w:pPr>
        <w:rPr>
          <w:rFonts w:ascii="Calibri" w:hAnsi="Calibri" w:cs="Calibri"/>
        </w:rPr>
      </w:pPr>
    </w:p>
    <w:p w14:paraId="3566D6AD" w14:textId="77777777" w:rsidR="00E04D6F" w:rsidRDefault="00E04D6F" w:rsidP="00E04D6F">
      <w:pPr>
        <w:rPr>
          <w:rFonts w:ascii="Calibri" w:hAnsi="Calibri" w:cs="Calibri"/>
        </w:rPr>
      </w:pPr>
      <w:r>
        <w:rPr>
          <w:rFonts w:ascii="Calibri" w:hAnsi="Calibri" w:cs="Calibri"/>
        </w:rPr>
        <w:t>and then via Maxwell’s equations we were also able to deduce that:</w:t>
      </w:r>
    </w:p>
    <w:p w14:paraId="454673AE" w14:textId="77777777" w:rsidR="00E04D6F" w:rsidRPr="00877323" w:rsidRDefault="00E04D6F" w:rsidP="00E04D6F">
      <w:pPr>
        <w:rPr>
          <w:rFonts w:ascii="Calibri" w:hAnsi="Calibri" w:cs="Calibri"/>
        </w:rPr>
      </w:pPr>
    </w:p>
    <w:p w14:paraId="3AD0A2F8" w14:textId="2BF645E3" w:rsidR="00E04D6F" w:rsidRDefault="004E2DFD" w:rsidP="00E04D6F">
      <w:pPr>
        <w:rPr>
          <w:rFonts w:ascii="Calibri" w:hAnsi="Calibri" w:cs="Calibri"/>
        </w:rPr>
      </w:pPr>
      <w:r w:rsidRPr="00877323">
        <w:rPr>
          <w:rFonts w:ascii="Calibri" w:hAnsi="Calibri" w:cs="Calibri"/>
          <w:position w:val="-30"/>
        </w:rPr>
        <w:object w:dxaOrig="6920" w:dyaOrig="680" w14:anchorId="2543B39E">
          <v:shape id="_x0000_i1041" type="#_x0000_t75" style="width:348pt;height:36pt" o:ole="" fillcolor="#cfc">
            <v:imagedata r:id="rId8" o:title=""/>
          </v:shape>
          <o:OLEObject Type="Embed" ProgID="Equation.DSMT4" ShapeID="_x0000_i1041" DrawAspect="Content" ObjectID="_1723550649" r:id="rId9"/>
        </w:object>
      </w:r>
    </w:p>
    <w:p w14:paraId="7108C5E1" w14:textId="77777777" w:rsidR="00E04D6F" w:rsidRPr="00877323" w:rsidRDefault="00E04D6F" w:rsidP="00E04D6F">
      <w:pPr>
        <w:rPr>
          <w:rFonts w:ascii="Calibri" w:hAnsi="Calibri" w:cs="Calibri"/>
        </w:rPr>
      </w:pPr>
    </w:p>
    <w:p w14:paraId="789C3502" w14:textId="28DAC62B" w:rsidR="00E04D6F" w:rsidRPr="00EE146C" w:rsidRDefault="004E2DFD" w:rsidP="00E04D6F">
      <w:pPr>
        <w:pStyle w:val="NoSpacing"/>
        <w:rPr>
          <w:sz w:val="24"/>
          <w:szCs w:val="24"/>
        </w:rPr>
      </w:pPr>
      <w:r w:rsidRPr="00EE146C">
        <w:rPr>
          <w:position w:val="-14"/>
        </w:rPr>
        <w:object w:dxaOrig="2520" w:dyaOrig="380" w14:anchorId="314E8C11">
          <v:shape id="_x0000_i1042" type="#_x0000_t75" style="width:127.1pt;height:19.65pt" o:ole="" fillcolor="#cfc">
            <v:imagedata r:id="rId10" o:title=""/>
          </v:shape>
          <o:OLEObject Type="Embed" ProgID="Equation.DSMT4" ShapeID="_x0000_i1042" DrawAspect="Content" ObjectID="_1723550650" r:id="rId11"/>
        </w:object>
      </w:r>
    </w:p>
    <w:p w14:paraId="1BAA79B3" w14:textId="77777777" w:rsidR="00E04D6F" w:rsidRDefault="00E04D6F" w:rsidP="00E04D6F">
      <w:pPr>
        <w:pStyle w:val="NoSpacing"/>
        <w:rPr>
          <w:sz w:val="24"/>
          <w:szCs w:val="24"/>
        </w:rPr>
      </w:pPr>
    </w:p>
    <w:p w14:paraId="760B981F" w14:textId="77777777" w:rsidR="00E04D6F" w:rsidRDefault="00E04D6F" w:rsidP="00E04D6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etc.  We calculated the dielectric response of electrons in a metal in the Free Day folder, and the e-e folder.  Now let’s include the phonons as well, and do it for the entire metal.  So say we introduce some external (free) potential into our metal, then we have:</w:t>
      </w:r>
    </w:p>
    <w:p w14:paraId="35D7E422" w14:textId="77777777" w:rsidR="00E04D6F" w:rsidRDefault="00E04D6F" w:rsidP="00E04D6F">
      <w:pPr>
        <w:pStyle w:val="NoSpacing"/>
        <w:rPr>
          <w:sz w:val="24"/>
          <w:szCs w:val="24"/>
        </w:rPr>
      </w:pPr>
    </w:p>
    <w:p w14:paraId="3657C465" w14:textId="1DADA789" w:rsidR="00E04D6F" w:rsidRDefault="00E04D6F" w:rsidP="00E04D6F">
      <w:pPr>
        <w:pStyle w:val="NoSpacing"/>
      </w:pPr>
      <w:r w:rsidRPr="00C978A5">
        <w:rPr>
          <w:position w:val="-14"/>
        </w:rPr>
        <w:object w:dxaOrig="2520" w:dyaOrig="380" w14:anchorId="2D602F95">
          <v:shape id="_x0000_i1043" type="#_x0000_t75" style="width:126pt;height:19.1pt" o:ole="">
            <v:imagedata r:id="rId12" o:title=""/>
          </v:shape>
          <o:OLEObject Type="Embed" ProgID="Equation.DSMT4" ShapeID="_x0000_i1043" DrawAspect="Content" ObjectID="_1723550651" r:id="rId13"/>
        </w:object>
      </w:r>
      <w:r w:rsidR="00A06FF5">
        <w:tab/>
      </w:r>
      <w:r w:rsidR="00A06FF5">
        <w:tab/>
      </w:r>
      <w:r w:rsidR="00A06FF5">
        <w:tab/>
      </w:r>
      <w:r w:rsidR="00A06FF5">
        <w:tab/>
        <w:t>(1)</w:t>
      </w:r>
    </w:p>
    <w:p w14:paraId="60161A93" w14:textId="77777777" w:rsidR="00E04D6F" w:rsidRPr="003A346E" w:rsidRDefault="00E04D6F" w:rsidP="00E04D6F">
      <w:pPr>
        <w:pStyle w:val="NoSpacing"/>
        <w:rPr>
          <w:sz w:val="24"/>
          <w:szCs w:val="24"/>
        </w:rPr>
      </w:pPr>
    </w:p>
    <w:p w14:paraId="4B0668F8" w14:textId="77777777" w:rsidR="00E04D6F" w:rsidRDefault="00E04D6F" w:rsidP="00E04D6F">
      <w:pPr>
        <w:pStyle w:val="NoSpacing"/>
        <w:rPr>
          <w:sz w:val="24"/>
          <w:szCs w:val="24"/>
        </w:rPr>
      </w:pPr>
      <w:r w:rsidRPr="003A346E">
        <w:rPr>
          <w:sz w:val="24"/>
          <w:szCs w:val="24"/>
        </w:rPr>
        <w:t xml:space="preserve">where </w:t>
      </w:r>
      <w:r w:rsidRPr="003A346E">
        <w:rPr>
          <w:rFonts w:cs="Calibri"/>
          <w:sz w:val="24"/>
          <w:szCs w:val="24"/>
        </w:rPr>
        <w:t>ε</w:t>
      </w:r>
      <w:r w:rsidRPr="003A346E">
        <w:rPr>
          <w:sz w:val="24"/>
          <w:szCs w:val="24"/>
        </w:rPr>
        <w:t>(q,</w:t>
      </w:r>
      <w:r w:rsidRPr="003A346E">
        <w:rPr>
          <w:rFonts w:cs="Calibri"/>
          <w:sz w:val="24"/>
          <w:szCs w:val="24"/>
        </w:rPr>
        <w:t>ω</w:t>
      </w:r>
      <w:r w:rsidRPr="003A346E">
        <w:rPr>
          <w:sz w:val="24"/>
          <w:szCs w:val="24"/>
        </w:rPr>
        <w:t>)</w:t>
      </w:r>
      <w:r>
        <w:rPr>
          <w:sz w:val="24"/>
          <w:szCs w:val="24"/>
        </w:rPr>
        <w:t xml:space="preserve"> is the dielectric of the entire metal.  We can relate this to the dielectric of the electrons, and that of the phonons/ions separately.  So consider just the electrons.  From their point of view, the ‘free’ is the actual free charge distribution, and the ions’ charge distribution.  So we’d say,</w:t>
      </w:r>
    </w:p>
    <w:p w14:paraId="4FF5DDB1" w14:textId="77777777" w:rsidR="00E04D6F" w:rsidRDefault="00E04D6F" w:rsidP="00E04D6F">
      <w:pPr>
        <w:pStyle w:val="NoSpacing"/>
        <w:rPr>
          <w:sz w:val="24"/>
          <w:szCs w:val="24"/>
        </w:rPr>
      </w:pPr>
    </w:p>
    <w:p w14:paraId="2646A2D9" w14:textId="3AB8B328" w:rsidR="00E04D6F" w:rsidRPr="003A346E" w:rsidRDefault="00E04D6F" w:rsidP="00E04D6F">
      <w:pPr>
        <w:pStyle w:val="NoSpacing"/>
        <w:rPr>
          <w:sz w:val="24"/>
          <w:szCs w:val="24"/>
        </w:rPr>
      </w:pPr>
      <w:r w:rsidRPr="00C978A5">
        <w:rPr>
          <w:position w:val="-14"/>
        </w:rPr>
        <w:object w:dxaOrig="3660" w:dyaOrig="380" w14:anchorId="5E0E44F0">
          <v:shape id="_x0000_i1044" type="#_x0000_t75" style="width:183.25pt;height:19.1pt" o:ole="">
            <v:imagedata r:id="rId14" o:title=""/>
          </v:shape>
          <o:OLEObject Type="Embed" ProgID="Equation.DSMT4" ShapeID="_x0000_i1044" DrawAspect="Content" ObjectID="_1723550652" r:id="rId15"/>
        </w:object>
      </w:r>
      <w:r w:rsidR="00A06FF5">
        <w:tab/>
      </w:r>
      <w:r w:rsidR="00A06FF5">
        <w:tab/>
        <w:t>(2)</w:t>
      </w:r>
    </w:p>
    <w:p w14:paraId="7EE2269C" w14:textId="77777777" w:rsidR="00E04D6F" w:rsidRPr="00670141" w:rsidRDefault="00E04D6F" w:rsidP="00E04D6F">
      <w:pPr>
        <w:pStyle w:val="NoSpacing"/>
        <w:rPr>
          <w:sz w:val="24"/>
          <w:szCs w:val="24"/>
        </w:rPr>
      </w:pPr>
    </w:p>
    <w:p w14:paraId="44F02F53" w14:textId="77777777" w:rsidR="00E04D6F" w:rsidRDefault="00E04D6F" w:rsidP="00E04D6F">
      <w:pPr>
        <w:pStyle w:val="NoSpacing"/>
        <w:rPr>
          <w:sz w:val="24"/>
          <w:szCs w:val="24"/>
        </w:rPr>
      </w:pPr>
      <w:r w:rsidRPr="00670141">
        <w:rPr>
          <w:sz w:val="24"/>
          <w:szCs w:val="24"/>
        </w:rPr>
        <w:t>If we co</w:t>
      </w:r>
      <w:r>
        <w:rPr>
          <w:sz w:val="24"/>
          <w:szCs w:val="24"/>
        </w:rPr>
        <w:t>nsider just the ions, then from their point of view,</w:t>
      </w:r>
    </w:p>
    <w:p w14:paraId="4D545858" w14:textId="77777777" w:rsidR="00E04D6F" w:rsidRDefault="00E04D6F" w:rsidP="00E04D6F">
      <w:pPr>
        <w:pStyle w:val="NoSpacing"/>
        <w:rPr>
          <w:sz w:val="24"/>
          <w:szCs w:val="24"/>
        </w:rPr>
      </w:pPr>
    </w:p>
    <w:p w14:paraId="37CE15F7" w14:textId="07806525" w:rsidR="00E04D6F" w:rsidRPr="00670141" w:rsidRDefault="00452418" w:rsidP="00E04D6F">
      <w:pPr>
        <w:pStyle w:val="NoSpacing"/>
        <w:rPr>
          <w:sz w:val="24"/>
          <w:szCs w:val="24"/>
        </w:rPr>
      </w:pPr>
      <w:r w:rsidRPr="00C978A5">
        <w:rPr>
          <w:position w:val="-14"/>
        </w:rPr>
        <w:object w:dxaOrig="3660" w:dyaOrig="380" w14:anchorId="647794E9">
          <v:shape id="_x0000_i1078" type="#_x0000_t75" style="width:183.25pt;height:19.1pt" o:ole="">
            <v:imagedata r:id="rId16" o:title=""/>
          </v:shape>
          <o:OLEObject Type="Embed" ProgID="Equation.DSMT4" ShapeID="_x0000_i1078" DrawAspect="Content" ObjectID="_1723550653" r:id="rId17"/>
        </w:object>
      </w:r>
      <w:r w:rsidR="00A06FF5">
        <w:tab/>
      </w:r>
      <w:r w:rsidR="00A06FF5">
        <w:tab/>
        <w:t>(3)</w:t>
      </w:r>
    </w:p>
    <w:p w14:paraId="782D7114" w14:textId="77777777" w:rsidR="00E04D6F" w:rsidRDefault="00E04D6F" w:rsidP="00E04D6F">
      <w:pPr>
        <w:rPr>
          <w:rFonts w:ascii="Calibri" w:hAnsi="Calibri" w:cs="Calibri"/>
        </w:rPr>
      </w:pPr>
    </w:p>
    <w:p w14:paraId="02580FFE" w14:textId="37FBEEB6" w:rsidR="00E04D6F" w:rsidRDefault="0029465C" w:rsidP="00E04D6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can use these definitions to solve for the total ε(q,ω).  </w:t>
      </w:r>
      <w:r w:rsidR="00A06FF5">
        <w:rPr>
          <w:rFonts w:ascii="Calibri" w:hAnsi="Calibri" w:cs="Calibri"/>
        </w:rPr>
        <w:t>Plugging the first into the second,</w:t>
      </w:r>
    </w:p>
    <w:p w14:paraId="57017B35" w14:textId="6EE077D8" w:rsidR="00A06FF5" w:rsidRDefault="00A06FF5" w:rsidP="00E04D6F">
      <w:pPr>
        <w:rPr>
          <w:rFonts w:ascii="Calibri" w:hAnsi="Calibri" w:cs="Calibri"/>
        </w:rPr>
      </w:pPr>
    </w:p>
    <w:p w14:paraId="34628045" w14:textId="2281CF56" w:rsidR="00A06FF5" w:rsidRDefault="00A06FF5" w:rsidP="00E04D6F">
      <w:r w:rsidRPr="00A06FF5">
        <w:rPr>
          <w:position w:val="-32"/>
        </w:rPr>
        <w:object w:dxaOrig="4220" w:dyaOrig="760" w14:anchorId="04FBEFF6">
          <v:shape id="_x0000_i1095" type="#_x0000_t75" style="width:211.1pt;height:38.2pt" o:ole="">
            <v:imagedata r:id="rId18" o:title=""/>
          </v:shape>
          <o:OLEObject Type="Embed" ProgID="Equation.DSMT4" ShapeID="_x0000_i1095" DrawAspect="Content" ObjectID="_1723550654" r:id="rId19"/>
        </w:object>
      </w:r>
    </w:p>
    <w:p w14:paraId="7E907278" w14:textId="519C2C2E" w:rsidR="00A06FF5" w:rsidRDefault="00A06FF5" w:rsidP="00E04D6F"/>
    <w:p w14:paraId="6F57D213" w14:textId="1C898268" w:rsidR="00A06FF5" w:rsidRDefault="00A06FF5" w:rsidP="00E04D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first into third,</w:t>
      </w:r>
    </w:p>
    <w:p w14:paraId="625C9EE7" w14:textId="1648FCEE" w:rsidR="00A06FF5" w:rsidRDefault="00A06FF5" w:rsidP="00E04D6F">
      <w:pPr>
        <w:rPr>
          <w:rFonts w:asciiTheme="minorHAnsi" w:hAnsiTheme="minorHAnsi" w:cstheme="minorHAnsi"/>
        </w:rPr>
      </w:pPr>
    </w:p>
    <w:p w14:paraId="091BF75A" w14:textId="59CAE24B" w:rsidR="00A06FF5" w:rsidRDefault="00EF31A9" w:rsidP="00E04D6F">
      <w:r w:rsidRPr="00A06FF5">
        <w:rPr>
          <w:position w:val="-32"/>
        </w:rPr>
        <w:object w:dxaOrig="4220" w:dyaOrig="760" w14:anchorId="7DDB56E9">
          <v:shape id="_x0000_i1099" type="#_x0000_t75" style="width:211.1pt;height:38.2pt" o:ole="">
            <v:imagedata r:id="rId20" o:title=""/>
          </v:shape>
          <o:OLEObject Type="Embed" ProgID="Equation.DSMT4" ShapeID="_x0000_i1099" DrawAspect="Content" ObjectID="_1723550655" r:id="rId21"/>
        </w:object>
      </w:r>
    </w:p>
    <w:p w14:paraId="575841CB" w14:textId="6FE0EDD2" w:rsidR="00EF31A9" w:rsidRDefault="00EF31A9" w:rsidP="00E04D6F"/>
    <w:p w14:paraId="231092C4" w14:textId="4B4785DE" w:rsidR="00EF31A9" w:rsidRDefault="00EF31A9" w:rsidP="00E04D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then these, plus the first, into,</w:t>
      </w:r>
    </w:p>
    <w:p w14:paraId="6F1B7D8D" w14:textId="0CAC7E4A" w:rsidR="00EF31A9" w:rsidRDefault="00EF31A9" w:rsidP="00E04D6F">
      <w:pPr>
        <w:rPr>
          <w:rFonts w:asciiTheme="minorHAnsi" w:hAnsiTheme="minorHAnsi" w:cstheme="minorHAnsi"/>
        </w:rPr>
      </w:pPr>
    </w:p>
    <w:p w14:paraId="50759E4B" w14:textId="171D1BAE" w:rsidR="00EF31A9" w:rsidRPr="00EF31A9" w:rsidRDefault="00EF31A9" w:rsidP="00E04D6F">
      <w:pPr>
        <w:rPr>
          <w:rFonts w:asciiTheme="minorHAnsi" w:hAnsiTheme="minorHAnsi" w:cstheme="minorHAnsi"/>
        </w:rPr>
      </w:pPr>
      <w:r w:rsidRPr="00EF31A9">
        <w:rPr>
          <w:position w:val="-14"/>
        </w:rPr>
        <w:object w:dxaOrig="3900" w:dyaOrig="380" w14:anchorId="45108697">
          <v:shape id="_x0000_i1106" type="#_x0000_t75" style="width:195.25pt;height:19.1pt" o:ole="">
            <v:imagedata r:id="rId22" o:title=""/>
          </v:shape>
          <o:OLEObject Type="Embed" ProgID="Equation.DSMT4" ShapeID="_x0000_i1106" DrawAspect="Content" ObjectID="_1723550656" r:id="rId23"/>
        </w:object>
      </w:r>
    </w:p>
    <w:p w14:paraId="1F030324" w14:textId="77777777" w:rsidR="00A06FF5" w:rsidRDefault="00A06FF5" w:rsidP="00E04D6F">
      <w:pPr>
        <w:rPr>
          <w:rFonts w:ascii="Calibri" w:hAnsi="Calibri" w:cs="Calibri"/>
        </w:rPr>
      </w:pPr>
    </w:p>
    <w:p w14:paraId="076A4357" w14:textId="1C24FF7B" w:rsidR="00E04D6F" w:rsidRDefault="00EF31A9" w:rsidP="00E04D6F">
      <w:pPr>
        <w:rPr>
          <w:rFonts w:ascii="Calibri" w:hAnsi="Calibri" w:cs="Calibri"/>
        </w:rPr>
      </w:pPr>
      <w:r>
        <w:rPr>
          <w:rFonts w:ascii="Calibri" w:hAnsi="Calibri" w:cs="Calibri"/>
        </w:rPr>
        <w:t>we have:</w:t>
      </w:r>
    </w:p>
    <w:p w14:paraId="5269E1C8" w14:textId="4307962A" w:rsidR="00EF31A9" w:rsidRDefault="00EF31A9" w:rsidP="00E04D6F">
      <w:pPr>
        <w:rPr>
          <w:rFonts w:ascii="Calibri" w:hAnsi="Calibri" w:cs="Calibri"/>
        </w:rPr>
      </w:pPr>
    </w:p>
    <w:p w14:paraId="1518A14D" w14:textId="68AFA788" w:rsidR="00EF31A9" w:rsidRDefault="00EF31A9" w:rsidP="00E04D6F">
      <w:pPr>
        <w:rPr>
          <w:rFonts w:ascii="Calibri" w:hAnsi="Calibri" w:cs="Calibri"/>
        </w:rPr>
      </w:pPr>
      <w:r w:rsidRPr="00EF31A9">
        <w:rPr>
          <w:position w:val="-50"/>
        </w:rPr>
        <w:object w:dxaOrig="7920" w:dyaOrig="1160" w14:anchorId="6CF0CADB">
          <v:shape id="_x0000_i1109" type="#_x0000_t75" style="width:396.55pt;height:58.35pt" o:ole="">
            <v:imagedata r:id="rId24" o:title=""/>
          </v:shape>
          <o:OLEObject Type="Embed" ProgID="Equation.DSMT4" ShapeID="_x0000_i1109" DrawAspect="Content" ObjectID="_1723550657" r:id="rId25"/>
        </w:object>
      </w:r>
    </w:p>
    <w:p w14:paraId="10E49826" w14:textId="346EAC1A" w:rsidR="0029465C" w:rsidRDefault="0029465C" w:rsidP="00E04D6F">
      <w:pPr>
        <w:rPr>
          <w:rFonts w:ascii="Calibri" w:hAnsi="Calibri" w:cs="Calibri"/>
        </w:rPr>
      </w:pPr>
    </w:p>
    <w:p w14:paraId="12A61FB3" w14:textId="732C94E4" w:rsidR="00E04D6F" w:rsidRDefault="00EF31A9" w:rsidP="00E04D6F">
      <w:pPr>
        <w:rPr>
          <w:rFonts w:ascii="Calibri" w:hAnsi="Calibri" w:cs="Calibri"/>
        </w:rPr>
      </w:pPr>
      <w:r>
        <w:rPr>
          <w:rFonts w:ascii="Calibri" w:hAnsi="Calibri" w:cs="Calibri"/>
        </w:rPr>
        <w:t>So we find,</w:t>
      </w:r>
    </w:p>
    <w:p w14:paraId="1058E42B" w14:textId="77777777" w:rsidR="00EF31A9" w:rsidRDefault="00EF31A9" w:rsidP="00E04D6F">
      <w:pPr>
        <w:rPr>
          <w:rFonts w:ascii="Calibri" w:hAnsi="Calibri" w:cs="Calibri"/>
        </w:rPr>
      </w:pPr>
    </w:p>
    <w:p w14:paraId="2C571766" w14:textId="09BBB9D4" w:rsidR="00474BA8" w:rsidRDefault="00EF31A9" w:rsidP="00474BA8">
      <w:pPr>
        <w:rPr>
          <w:rFonts w:ascii="Calibri" w:hAnsi="Calibri" w:cs="Calibri"/>
        </w:rPr>
      </w:pPr>
      <w:r w:rsidRPr="00EF31A9">
        <w:rPr>
          <w:rFonts w:ascii="Calibri" w:hAnsi="Calibri" w:cs="Calibri"/>
          <w:position w:val="-12"/>
        </w:rPr>
        <w:object w:dxaOrig="3120" w:dyaOrig="360" w14:anchorId="74075298">
          <v:shape id="_x0000_i1111" type="#_x0000_t75" style="width:155.45pt;height:18pt" o:ole="" filled="t" fillcolor="#cfc">
            <v:imagedata r:id="rId26" o:title=""/>
          </v:shape>
          <o:OLEObject Type="Embed" ProgID="Equation.DSMT4" ShapeID="_x0000_i1111" DrawAspect="Content" ObjectID="_1723550658" r:id="rId27"/>
        </w:object>
      </w:r>
    </w:p>
    <w:p w14:paraId="01D4ABD9" w14:textId="56D14F4A" w:rsidR="00474BA8" w:rsidRDefault="00474BA8" w:rsidP="00474BA8">
      <w:pPr>
        <w:rPr>
          <w:rFonts w:ascii="Calibri" w:hAnsi="Calibri" w:cs="Calibri"/>
        </w:rPr>
      </w:pPr>
    </w:p>
    <w:p w14:paraId="12481920" w14:textId="68AE8ED3" w:rsidR="004E2DFD" w:rsidRDefault="00474BA8" w:rsidP="00474BA8">
      <w:pPr>
        <w:rPr>
          <w:rFonts w:cstheme="minorHAnsi"/>
        </w:rPr>
      </w:pPr>
      <w:r>
        <w:rPr>
          <w:rFonts w:ascii="Calibri" w:hAnsi="Calibri" w:cs="Calibri"/>
        </w:rPr>
        <w:t>Having in mind that V(q,ω) = V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(q,ω)/ε(q,ω), let’s take the inverse of this equation:</w:t>
      </w:r>
    </w:p>
    <w:p w14:paraId="505B1326" w14:textId="50FA824E" w:rsidR="00EF31A9" w:rsidRDefault="00EF31A9" w:rsidP="00925D60">
      <w:pPr>
        <w:pStyle w:val="NoSpacing"/>
        <w:rPr>
          <w:rFonts w:cstheme="minorHAnsi"/>
          <w:sz w:val="24"/>
          <w:szCs w:val="24"/>
        </w:rPr>
      </w:pPr>
    </w:p>
    <w:p w14:paraId="3565BA96" w14:textId="1D38AA2E" w:rsidR="00EF31A9" w:rsidRDefault="00474BA8" w:rsidP="00925D60">
      <w:pPr>
        <w:pStyle w:val="NoSpacing"/>
        <w:rPr>
          <w:rFonts w:cstheme="minorHAnsi"/>
          <w:sz w:val="24"/>
          <w:szCs w:val="24"/>
        </w:rPr>
      </w:pPr>
      <w:r w:rsidRPr="00474BA8">
        <w:rPr>
          <w:position w:val="-64"/>
        </w:rPr>
        <w:object w:dxaOrig="2260" w:dyaOrig="1400" w14:anchorId="68A2F781">
          <v:shape id="_x0000_i1115" type="#_x0000_t75" style="width:112.9pt;height:69.8pt" o:ole="">
            <v:imagedata r:id="rId28" o:title=""/>
          </v:shape>
          <o:OLEObject Type="Embed" ProgID="Equation.DSMT4" ShapeID="_x0000_i1115" DrawAspect="Content" ObjectID="_1723550659" r:id="rId29"/>
        </w:object>
      </w:r>
    </w:p>
    <w:p w14:paraId="6147CF85" w14:textId="1AF109B2" w:rsidR="00EF31A9" w:rsidRDefault="00EF31A9" w:rsidP="00925D60">
      <w:pPr>
        <w:pStyle w:val="NoSpacing"/>
        <w:rPr>
          <w:rFonts w:cstheme="minorHAnsi"/>
          <w:sz w:val="24"/>
          <w:szCs w:val="24"/>
        </w:rPr>
      </w:pPr>
    </w:p>
    <w:p w14:paraId="2C0DA61E" w14:textId="30206F47" w:rsidR="00EF31A9" w:rsidRDefault="00474BA8" w:rsidP="00925D60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Let’s fill in the small q values of 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cstheme="minorHAnsi"/>
          <w:sz w:val="24"/>
          <w:szCs w:val="24"/>
          <w:vertAlign w:val="subscript"/>
        </w:rPr>
        <w:t>e</w:t>
      </w:r>
      <w:r>
        <w:rPr>
          <w:rFonts w:cstheme="minorHAnsi"/>
          <w:sz w:val="24"/>
          <w:szCs w:val="24"/>
        </w:rPr>
        <w:t xml:space="preserve"> (TF approximation), and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cstheme="minorHAnsi"/>
          <w:sz w:val="24"/>
          <w:szCs w:val="24"/>
          <w:vertAlign w:val="subscript"/>
        </w:rPr>
        <w:t>ion</w:t>
      </w:r>
      <w:r>
        <w:rPr>
          <w:rFonts w:cstheme="minorHAnsi"/>
          <w:sz w:val="24"/>
          <w:szCs w:val="24"/>
        </w:rPr>
        <w:t>.  So recall from the Free Day folder, that we have:</w:t>
      </w:r>
    </w:p>
    <w:p w14:paraId="3A7B1B6A" w14:textId="77777777" w:rsidR="00474BA8" w:rsidRPr="00474BA8" w:rsidRDefault="00474BA8" w:rsidP="00925D60">
      <w:pPr>
        <w:pStyle w:val="NoSpacing"/>
        <w:rPr>
          <w:rFonts w:cstheme="minorHAnsi"/>
          <w:sz w:val="24"/>
          <w:szCs w:val="24"/>
        </w:rPr>
      </w:pPr>
    </w:p>
    <w:p w14:paraId="47E8BD80" w14:textId="758194AC" w:rsidR="004E2DFD" w:rsidRDefault="00070B14" w:rsidP="00925D60">
      <w:pPr>
        <w:pStyle w:val="NoSpacing"/>
      </w:pPr>
      <w:r w:rsidRPr="00474BA8">
        <w:rPr>
          <w:position w:val="-70"/>
        </w:rPr>
        <w:object w:dxaOrig="5760" w:dyaOrig="1520" w14:anchorId="680CB936">
          <v:shape id="_x0000_i1128" type="#_x0000_t75" style="width:4in;height:75.8pt" o:ole="">
            <v:imagedata r:id="rId30" o:title=""/>
          </v:shape>
          <o:OLEObject Type="Embed" ProgID="Equation.DSMT4" ShapeID="_x0000_i1128" DrawAspect="Content" ObjectID="_1723550660" r:id="rId31"/>
        </w:object>
      </w:r>
    </w:p>
    <w:p w14:paraId="776531A8" w14:textId="002EFFDB" w:rsidR="00474BA8" w:rsidRPr="00474BA8" w:rsidRDefault="00474BA8" w:rsidP="00925D60">
      <w:pPr>
        <w:pStyle w:val="NoSpacing"/>
        <w:rPr>
          <w:sz w:val="24"/>
          <w:szCs w:val="24"/>
        </w:rPr>
      </w:pPr>
    </w:p>
    <w:p w14:paraId="261A37EC" w14:textId="2073C78C" w:rsidR="00474BA8" w:rsidRPr="00474BA8" w:rsidRDefault="00474BA8" w:rsidP="00925D60">
      <w:pPr>
        <w:pStyle w:val="NoSpacing"/>
        <w:rPr>
          <w:sz w:val="24"/>
          <w:szCs w:val="24"/>
        </w:rPr>
      </w:pPr>
      <w:r w:rsidRPr="00474BA8">
        <w:rPr>
          <w:sz w:val="24"/>
          <w:szCs w:val="24"/>
        </w:rPr>
        <w:t>Filling these in, we find</w:t>
      </w:r>
      <w:r w:rsidR="00070B14">
        <w:rPr>
          <w:sz w:val="24"/>
          <w:szCs w:val="24"/>
        </w:rPr>
        <w:t>, in small q, large r limit,</w:t>
      </w:r>
    </w:p>
    <w:p w14:paraId="04AE05C6" w14:textId="19442378" w:rsidR="004E2DFD" w:rsidRDefault="004E2DFD" w:rsidP="00925D60">
      <w:pPr>
        <w:pStyle w:val="NoSpacing"/>
      </w:pPr>
    </w:p>
    <w:p w14:paraId="6611785A" w14:textId="7574C8CC" w:rsidR="00474BA8" w:rsidRDefault="0073050C" w:rsidP="00925D60">
      <w:pPr>
        <w:pStyle w:val="NoSpacing"/>
      </w:pPr>
      <w:r w:rsidRPr="00070B14">
        <w:rPr>
          <w:position w:val="-204"/>
        </w:rPr>
        <w:object w:dxaOrig="2780" w:dyaOrig="3140" w14:anchorId="4742F2A8">
          <v:shape id="_x0000_i1132" type="#_x0000_t75" style="width:139.1pt;height:157.1pt" o:ole="">
            <v:imagedata r:id="rId32" o:title=""/>
          </v:shape>
          <o:OLEObject Type="Embed" ProgID="Equation.DSMT4" ShapeID="_x0000_i1132" DrawAspect="Content" ObjectID="_1723550661" r:id="rId33"/>
        </w:object>
      </w:r>
    </w:p>
    <w:p w14:paraId="1C483392" w14:textId="18EF2C74" w:rsidR="0073050C" w:rsidRDefault="0073050C" w:rsidP="00925D60">
      <w:pPr>
        <w:pStyle w:val="NoSpacing"/>
      </w:pPr>
    </w:p>
    <w:p w14:paraId="2A890B66" w14:textId="3E54687D" w:rsidR="0073050C" w:rsidRPr="00F34501" w:rsidRDefault="0073050C" w:rsidP="00925D60">
      <w:pPr>
        <w:pStyle w:val="NoSpacing"/>
        <w:rPr>
          <w:sz w:val="24"/>
          <w:szCs w:val="24"/>
        </w:rPr>
      </w:pPr>
      <w:r w:rsidRPr="00F34501">
        <w:rPr>
          <w:sz w:val="24"/>
          <w:szCs w:val="24"/>
        </w:rPr>
        <w:t xml:space="preserve">So </w:t>
      </w:r>
      <w:r w:rsidR="00F34501" w:rsidRPr="00F34501">
        <w:rPr>
          <w:sz w:val="24"/>
          <w:szCs w:val="24"/>
        </w:rPr>
        <w:t xml:space="preserve">in that limit </w:t>
      </w:r>
      <w:r w:rsidRPr="00F34501">
        <w:rPr>
          <w:sz w:val="24"/>
          <w:szCs w:val="24"/>
        </w:rPr>
        <w:t>we have:</w:t>
      </w:r>
    </w:p>
    <w:p w14:paraId="220B18B1" w14:textId="121638C3" w:rsidR="004E2DFD" w:rsidRDefault="004E2DFD" w:rsidP="00925D60">
      <w:pPr>
        <w:pStyle w:val="NoSpacing"/>
        <w:rPr>
          <w:rFonts w:cstheme="minorHAnsi"/>
          <w:sz w:val="24"/>
          <w:szCs w:val="24"/>
        </w:rPr>
      </w:pPr>
    </w:p>
    <w:p w14:paraId="798C4D4E" w14:textId="2987047B" w:rsidR="0073050C" w:rsidRDefault="00F34501" w:rsidP="00925D60">
      <w:pPr>
        <w:pStyle w:val="NoSpacing"/>
      </w:pPr>
      <w:r w:rsidRPr="0073050C">
        <w:rPr>
          <w:position w:val="-34"/>
        </w:rPr>
        <w:object w:dxaOrig="5420" w:dyaOrig="760" w14:anchorId="56EF92F5">
          <v:shape id="_x0000_i1137" type="#_x0000_t75" style="width:271.1pt;height:38.2pt" o:ole="" o:bordertopcolor="#0070c0" o:borderleftcolor="#0070c0" o:borderbottomcolor="#0070c0" o:borderrightcolor="#0070c0">
            <v:imagedata r:id="rId3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37" DrawAspect="Content" ObjectID="_1723550662" r:id="rId35"/>
        </w:object>
      </w:r>
    </w:p>
    <w:p w14:paraId="3BC3AF43" w14:textId="5D27693E" w:rsidR="00F34501" w:rsidRDefault="00F34501" w:rsidP="00925D60">
      <w:pPr>
        <w:pStyle w:val="NoSpacing"/>
      </w:pPr>
    </w:p>
    <w:p w14:paraId="4BFD4970" w14:textId="25C8680E" w:rsidR="00F34501" w:rsidRDefault="00F34501" w:rsidP="00925D60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We’ll recognize the </w:t>
      </w:r>
      <w:r>
        <w:rPr>
          <w:rFonts w:ascii="Calibri" w:hAnsi="Calibri" w:cs="Calibri"/>
          <w:sz w:val="24"/>
          <w:szCs w:val="24"/>
        </w:rPr>
        <w:t>ω</w:t>
      </w:r>
      <w:r>
        <w:rPr>
          <w:rFonts w:ascii="Calibri" w:hAnsi="Calibri" w:cs="Calibri"/>
          <w:sz w:val="24"/>
          <w:szCs w:val="24"/>
          <w:vertAlign w:val="subscript"/>
        </w:rPr>
        <w:t>q</w:t>
      </w:r>
      <w:r>
        <w:rPr>
          <w:rFonts w:ascii="Calibri" w:hAnsi="Calibri" w:cs="Calibri"/>
          <w:sz w:val="24"/>
          <w:szCs w:val="24"/>
        </w:rPr>
        <w:t xml:space="preserve"> as the new screened acoustic modes of our metal. </w:t>
      </w:r>
      <w:r>
        <w:rPr>
          <w:rFonts w:cstheme="minorHAnsi"/>
          <w:sz w:val="24"/>
          <w:szCs w:val="24"/>
        </w:rPr>
        <w:t xml:space="preserve"> And so the metal will screen a bare Coulomb potential to look like this:</w:t>
      </w:r>
    </w:p>
    <w:p w14:paraId="1A513083" w14:textId="37BED148" w:rsidR="00F34501" w:rsidRDefault="00F34501" w:rsidP="00925D60">
      <w:pPr>
        <w:pStyle w:val="NoSpacing"/>
        <w:rPr>
          <w:rFonts w:cstheme="minorHAnsi"/>
          <w:sz w:val="24"/>
          <w:szCs w:val="24"/>
        </w:rPr>
      </w:pPr>
    </w:p>
    <w:p w14:paraId="2E6F79C5" w14:textId="5E481A4E" w:rsidR="00F34501" w:rsidRPr="00F34501" w:rsidRDefault="00F34501" w:rsidP="00925D60">
      <w:pPr>
        <w:pStyle w:val="NoSpacing"/>
        <w:rPr>
          <w:sz w:val="24"/>
          <w:szCs w:val="24"/>
        </w:rPr>
      </w:pPr>
      <w:r w:rsidRPr="00F34501">
        <w:rPr>
          <w:position w:val="-110"/>
        </w:rPr>
        <w:object w:dxaOrig="2460" w:dyaOrig="2160" w14:anchorId="73C6FA0F">
          <v:shape id="_x0000_i1141" type="#_x0000_t75" style="width:123.25pt;height:108pt" o:ole="">
            <v:imagedata r:id="rId36" o:title=""/>
          </v:shape>
          <o:OLEObject Type="Embed" ProgID="Equation.DSMT4" ShapeID="_x0000_i1141" DrawAspect="Content" ObjectID="_1723550663" r:id="rId37"/>
        </w:object>
      </w:r>
    </w:p>
    <w:p w14:paraId="0F260F36" w14:textId="42223B2C" w:rsidR="00F34501" w:rsidRPr="00F34501" w:rsidRDefault="00F34501" w:rsidP="00925D60">
      <w:pPr>
        <w:pStyle w:val="NoSpacing"/>
        <w:rPr>
          <w:sz w:val="24"/>
          <w:szCs w:val="24"/>
        </w:rPr>
      </w:pPr>
    </w:p>
    <w:p w14:paraId="3644D56F" w14:textId="6BFE1994" w:rsidR="00F34501" w:rsidRPr="00F34501" w:rsidRDefault="00F34501" w:rsidP="00925D60">
      <w:pPr>
        <w:pStyle w:val="NoSpacing"/>
        <w:rPr>
          <w:rFonts w:cstheme="minorHAnsi"/>
          <w:sz w:val="28"/>
          <w:szCs w:val="28"/>
        </w:rPr>
      </w:pPr>
      <w:r w:rsidRPr="00F34501">
        <w:rPr>
          <w:sz w:val="24"/>
          <w:szCs w:val="24"/>
        </w:rPr>
        <w:t>which</w:t>
      </w:r>
      <w:r>
        <w:rPr>
          <w:sz w:val="24"/>
          <w:szCs w:val="24"/>
        </w:rPr>
        <w:t xml:space="preserve"> is basically a spatial delta function interaction in space, with a sign depending on frequency.  Interestingly, it’s negative for low frequencies.  This is the result we got for the effective interaction in </w:t>
      </w:r>
      <w:r w:rsidR="00B6622D">
        <w:rPr>
          <w:sz w:val="24"/>
          <w:szCs w:val="24"/>
        </w:rPr>
        <w:t>I</w:t>
      </w:r>
      <w:r>
        <w:rPr>
          <w:sz w:val="24"/>
          <w:szCs w:val="24"/>
        </w:rPr>
        <w:t xml:space="preserve">nteraction file.  </w:t>
      </w:r>
    </w:p>
    <w:sectPr w:rsidR="00F34501" w:rsidRPr="00F34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4D2A" w14:textId="77777777" w:rsidR="00AD79C8" w:rsidRDefault="00AD79C8" w:rsidP="00E824A8">
      <w:r>
        <w:separator/>
      </w:r>
    </w:p>
  </w:endnote>
  <w:endnote w:type="continuationSeparator" w:id="0">
    <w:p w14:paraId="0604A65A" w14:textId="77777777" w:rsidR="00AD79C8" w:rsidRDefault="00AD79C8" w:rsidP="00E8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AC42" w14:textId="77777777" w:rsidR="00AD79C8" w:rsidRDefault="00AD79C8" w:rsidP="00E824A8">
      <w:r>
        <w:separator/>
      </w:r>
    </w:p>
  </w:footnote>
  <w:footnote w:type="continuationSeparator" w:id="0">
    <w:p w14:paraId="14CF679A" w14:textId="77777777" w:rsidR="00AD79C8" w:rsidRDefault="00AD79C8" w:rsidP="00E82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0256"/>
    <w:rsid w:val="00002774"/>
    <w:rsid w:val="00002A66"/>
    <w:rsid w:val="000037D8"/>
    <w:rsid w:val="00003C8F"/>
    <w:rsid w:val="0000655D"/>
    <w:rsid w:val="0001335F"/>
    <w:rsid w:val="000142F7"/>
    <w:rsid w:val="0001586C"/>
    <w:rsid w:val="00017F4B"/>
    <w:rsid w:val="0002180F"/>
    <w:rsid w:val="00022024"/>
    <w:rsid w:val="00023BD8"/>
    <w:rsid w:val="00026201"/>
    <w:rsid w:val="00027F90"/>
    <w:rsid w:val="000309ED"/>
    <w:rsid w:val="00040106"/>
    <w:rsid w:val="00047441"/>
    <w:rsid w:val="0005164D"/>
    <w:rsid w:val="00052F43"/>
    <w:rsid w:val="00053C29"/>
    <w:rsid w:val="00057F28"/>
    <w:rsid w:val="0006022C"/>
    <w:rsid w:val="0006609C"/>
    <w:rsid w:val="0006720E"/>
    <w:rsid w:val="00070B14"/>
    <w:rsid w:val="0007116A"/>
    <w:rsid w:val="00075F1A"/>
    <w:rsid w:val="0007604C"/>
    <w:rsid w:val="000769AD"/>
    <w:rsid w:val="00085CFA"/>
    <w:rsid w:val="00086ED9"/>
    <w:rsid w:val="00087059"/>
    <w:rsid w:val="00087251"/>
    <w:rsid w:val="0009233F"/>
    <w:rsid w:val="00093C9A"/>
    <w:rsid w:val="00093CE1"/>
    <w:rsid w:val="0009420D"/>
    <w:rsid w:val="00095061"/>
    <w:rsid w:val="00095A12"/>
    <w:rsid w:val="00095B01"/>
    <w:rsid w:val="000A0A9E"/>
    <w:rsid w:val="000A6F28"/>
    <w:rsid w:val="000B13F4"/>
    <w:rsid w:val="000B26D9"/>
    <w:rsid w:val="000C0EC1"/>
    <w:rsid w:val="000C3701"/>
    <w:rsid w:val="000C614F"/>
    <w:rsid w:val="000D2BE2"/>
    <w:rsid w:val="000D3ECF"/>
    <w:rsid w:val="000D4B93"/>
    <w:rsid w:val="000D5586"/>
    <w:rsid w:val="000D77EE"/>
    <w:rsid w:val="000E4EB4"/>
    <w:rsid w:val="000E7F6B"/>
    <w:rsid w:val="000F6B16"/>
    <w:rsid w:val="00100EE8"/>
    <w:rsid w:val="00103031"/>
    <w:rsid w:val="00104F6F"/>
    <w:rsid w:val="00110FA4"/>
    <w:rsid w:val="00114AC0"/>
    <w:rsid w:val="0011505E"/>
    <w:rsid w:val="00125A5A"/>
    <w:rsid w:val="00125E10"/>
    <w:rsid w:val="00126189"/>
    <w:rsid w:val="00133166"/>
    <w:rsid w:val="00136B79"/>
    <w:rsid w:val="0013720D"/>
    <w:rsid w:val="00147D30"/>
    <w:rsid w:val="001517F1"/>
    <w:rsid w:val="001564BE"/>
    <w:rsid w:val="00160F2D"/>
    <w:rsid w:val="00163183"/>
    <w:rsid w:val="001653CC"/>
    <w:rsid w:val="0017091F"/>
    <w:rsid w:val="00173F20"/>
    <w:rsid w:val="00190F34"/>
    <w:rsid w:val="0019239B"/>
    <w:rsid w:val="00193CED"/>
    <w:rsid w:val="00194B14"/>
    <w:rsid w:val="00197666"/>
    <w:rsid w:val="001A60C6"/>
    <w:rsid w:val="001A6AF5"/>
    <w:rsid w:val="001B2EE4"/>
    <w:rsid w:val="001B7191"/>
    <w:rsid w:val="001B758B"/>
    <w:rsid w:val="001B7B66"/>
    <w:rsid w:val="001B7EA2"/>
    <w:rsid w:val="001B7FBE"/>
    <w:rsid w:val="001D2B3C"/>
    <w:rsid w:val="001D604C"/>
    <w:rsid w:val="001D635D"/>
    <w:rsid w:val="001D7B1F"/>
    <w:rsid w:val="001E1DE0"/>
    <w:rsid w:val="001E482B"/>
    <w:rsid w:val="001E5411"/>
    <w:rsid w:val="001E5419"/>
    <w:rsid w:val="001E5AB8"/>
    <w:rsid w:val="001E7290"/>
    <w:rsid w:val="001F0D20"/>
    <w:rsid w:val="001F26DB"/>
    <w:rsid w:val="001F7882"/>
    <w:rsid w:val="0020339F"/>
    <w:rsid w:val="00203D71"/>
    <w:rsid w:val="00206913"/>
    <w:rsid w:val="00214446"/>
    <w:rsid w:val="00215297"/>
    <w:rsid w:val="00215645"/>
    <w:rsid w:val="00216296"/>
    <w:rsid w:val="0022105E"/>
    <w:rsid w:val="002244A9"/>
    <w:rsid w:val="002248ED"/>
    <w:rsid w:val="00226DF5"/>
    <w:rsid w:val="0023620D"/>
    <w:rsid w:val="002400BF"/>
    <w:rsid w:val="00240CA5"/>
    <w:rsid w:val="00243227"/>
    <w:rsid w:val="00243CA6"/>
    <w:rsid w:val="00255AF3"/>
    <w:rsid w:val="0025684D"/>
    <w:rsid w:val="00256D35"/>
    <w:rsid w:val="00257540"/>
    <w:rsid w:val="0026669B"/>
    <w:rsid w:val="00274AD5"/>
    <w:rsid w:val="00275B89"/>
    <w:rsid w:val="002840F7"/>
    <w:rsid w:val="00285010"/>
    <w:rsid w:val="00287397"/>
    <w:rsid w:val="00292249"/>
    <w:rsid w:val="0029465C"/>
    <w:rsid w:val="002A4234"/>
    <w:rsid w:val="002B0C80"/>
    <w:rsid w:val="002B4217"/>
    <w:rsid w:val="002B5EDD"/>
    <w:rsid w:val="002B6B30"/>
    <w:rsid w:val="002C6AF7"/>
    <w:rsid w:val="002D2C24"/>
    <w:rsid w:val="002D726E"/>
    <w:rsid w:val="002E11CD"/>
    <w:rsid w:val="002F1A20"/>
    <w:rsid w:val="002F2F04"/>
    <w:rsid w:val="002F5500"/>
    <w:rsid w:val="00300D14"/>
    <w:rsid w:val="003031AF"/>
    <w:rsid w:val="003039C4"/>
    <w:rsid w:val="00305E93"/>
    <w:rsid w:val="003108B1"/>
    <w:rsid w:val="003129F0"/>
    <w:rsid w:val="00321B10"/>
    <w:rsid w:val="00322789"/>
    <w:rsid w:val="00323309"/>
    <w:rsid w:val="00326FB6"/>
    <w:rsid w:val="00331CBD"/>
    <w:rsid w:val="003335ED"/>
    <w:rsid w:val="003362BA"/>
    <w:rsid w:val="003456E5"/>
    <w:rsid w:val="00351E51"/>
    <w:rsid w:val="003528E6"/>
    <w:rsid w:val="00352B6D"/>
    <w:rsid w:val="00357A76"/>
    <w:rsid w:val="003631A1"/>
    <w:rsid w:val="00363E70"/>
    <w:rsid w:val="00366D31"/>
    <w:rsid w:val="003714A7"/>
    <w:rsid w:val="003718A2"/>
    <w:rsid w:val="003729B7"/>
    <w:rsid w:val="003751FE"/>
    <w:rsid w:val="00376366"/>
    <w:rsid w:val="00381074"/>
    <w:rsid w:val="00384423"/>
    <w:rsid w:val="003866FE"/>
    <w:rsid w:val="003904C7"/>
    <w:rsid w:val="00395F3D"/>
    <w:rsid w:val="00396A10"/>
    <w:rsid w:val="003A4504"/>
    <w:rsid w:val="003A6D19"/>
    <w:rsid w:val="003B2AF0"/>
    <w:rsid w:val="003B2F6C"/>
    <w:rsid w:val="003C05E6"/>
    <w:rsid w:val="003E23EE"/>
    <w:rsid w:val="003E4334"/>
    <w:rsid w:val="003E45F5"/>
    <w:rsid w:val="003E7363"/>
    <w:rsid w:val="003F392D"/>
    <w:rsid w:val="003F4256"/>
    <w:rsid w:val="003F5A77"/>
    <w:rsid w:val="00403EB0"/>
    <w:rsid w:val="004073CF"/>
    <w:rsid w:val="00407740"/>
    <w:rsid w:val="00413C83"/>
    <w:rsid w:val="004147B3"/>
    <w:rsid w:val="00417726"/>
    <w:rsid w:val="00417F3F"/>
    <w:rsid w:val="00423BB5"/>
    <w:rsid w:val="004247A4"/>
    <w:rsid w:val="004349E5"/>
    <w:rsid w:val="00434A71"/>
    <w:rsid w:val="00440938"/>
    <w:rsid w:val="00440C12"/>
    <w:rsid w:val="004435B1"/>
    <w:rsid w:val="00450F0E"/>
    <w:rsid w:val="00452418"/>
    <w:rsid w:val="0045279C"/>
    <w:rsid w:val="00457029"/>
    <w:rsid w:val="00463A01"/>
    <w:rsid w:val="00474BA8"/>
    <w:rsid w:val="00482FD8"/>
    <w:rsid w:val="00483A79"/>
    <w:rsid w:val="0048496A"/>
    <w:rsid w:val="0048601A"/>
    <w:rsid w:val="004861C6"/>
    <w:rsid w:val="00486BB6"/>
    <w:rsid w:val="004939C5"/>
    <w:rsid w:val="0049416E"/>
    <w:rsid w:val="00494F4F"/>
    <w:rsid w:val="00495987"/>
    <w:rsid w:val="0049726D"/>
    <w:rsid w:val="0049796A"/>
    <w:rsid w:val="004A166E"/>
    <w:rsid w:val="004A3F31"/>
    <w:rsid w:val="004B3578"/>
    <w:rsid w:val="004B39D7"/>
    <w:rsid w:val="004B4C12"/>
    <w:rsid w:val="004B619E"/>
    <w:rsid w:val="004B7D59"/>
    <w:rsid w:val="004C3D0C"/>
    <w:rsid w:val="004C5697"/>
    <w:rsid w:val="004C652F"/>
    <w:rsid w:val="004D2199"/>
    <w:rsid w:val="004D28E5"/>
    <w:rsid w:val="004E05C2"/>
    <w:rsid w:val="004E0B10"/>
    <w:rsid w:val="004E2085"/>
    <w:rsid w:val="004E2DFD"/>
    <w:rsid w:val="004F1870"/>
    <w:rsid w:val="00500BF3"/>
    <w:rsid w:val="005039F8"/>
    <w:rsid w:val="00524ED5"/>
    <w:rsid w:val="00525C02"/>
    <w:rsid w:val="00526044"/>
    <w:rsid w:val="00526614"/>
    <w:rsid w:val="00533C56"/>
    <w:rsid w:val="00534F35"/>
    <w:rsid w:val="0053749B"/>
    <w:rsid w:val="00537BA8"/>
    <w:rsid w:val="0054089A"/>
    <w:rsid w:val="00541700"/>
    <w:rsid w:val="00542125"/>
    <w:rsid w:val="005428CD"/>
    <w:rsid w:val="00544886"/>
    <w:rsid w:val="00545184"/>
    <w:rsid w:val="0054554F"/>
    <w:rsid w:val="00560EAD"/>
    <w:rsid w:val="0056139F"/>
    <w:rsid w:val="00561F73"/>
    <w:rsid w:val="0056317F"/>
    <w:rsid w:val="00563C59"/>
    <w:rsid w:val="00566892"/>
    <w:rsid w:val="005702E1"/>
    <w:rsid w:val="00571832"/>
    <w:rsid w:val="00581959"/>
    <w:rsid w:val="00586F21"/>
    <w:rsid w:val="005900D0"/>
    <w:rsid w:val="005906A5"/>
    <w:rsid w:val="005924E4"/>
    <w:rsid w:val="00593D05"/>
    <w:rsid w:val="00594E2B"/>
    <w:rsid w:val="005972C2"/>
    <w:rsid w:val="005A035A"/>
    <w:rsid w:val="005A3ADB"/>
    <w:rsid w:val="005A7B46"/>
    <w:rsid w:val="005C5C41"/>
    <w:rsid w:val="005D4EE3"/>
    <w:rsid w:val="005D7ACD"/>
    <w:rsid w:val="005E62B2"/>
    <w:rsid w:val="005F3CCA"/>
    <w:rsid w:val="0060354F"/>
    <w:rsid w:val="0060497C"/>
    <w:rsid w:val="00604D58"/>
    <w:rsid w:val="00612256"/>
    <w:rsid w:val="006134BA"/>
    <w:rsid w:val="00617ABD"/>
    <w:rsid w:val="00620FB0"/>
    <w:rsid w:val="00623F4E"/>
    <w:rsid w:val="006317E4"/>
    <w:rsid w:val="006322D0"/>
    <w:rsid w:val="00656218"/>
    <w:rsid w:val="00657F12"/>
    <w:rsid w:val="00662D66"/>
    <w:rsid w:val="00665F06"/>
    <w:rsid w:val="00672382"/>
    <w:rsid w:val="00677290"/>
    <w:rsid w:val="00682648"/>
    <w:rsid w:val="00692AFE"/>
    <w:rsid w:val="006937A2"/>
    <w:rsid w:val="0069663B"/>
    <w:rsid w:val="006A0301"/>
    <w:rsid w:val="006B0409"/>
    <w:rsid w:val="006B0938"/>
    <w:rsid w:val="006B1180"/>
    <w:rsid w:val="006B79B8"/>
    <w:rsid w:val="006C3ABA"/>
    <w:rsid w:val="006C7D89"/>
    <w:rsid w:val="006C7EAB"/>
    <w:rsid w:val="006C7ED0"/>
    <w:rsid w:val="006D0267"/>
    <w:rsid w:val="006D3E3E"/>
    <w:rsid w:val="006E2751"/>
    <w:rsid w:val="006E3D82"/>
    <w:rsid w:val="006E5610"/>
    <w:rsid w:val="006F6994"/>
    <w:rsid w:val="006F6F88"/>
    <w:rsid w:val="00710603"/>
    <w:rsid w:val="00710706"/>
    <w:rsid w:val="007107CC"/>
    <w:rsid w:val="007130E5"/>
    <w:rsid w:val="007149EC"/>
    <w:rsid w:val="00716A82"/>
    <w:rsid w:val="007171C3"/>
    <w:rsid w:val="0073050C"/>
    <w:rsid w:val="00732254"/>
    <w:rsid w:val="00734E20"/>
    <w:rsid w:val="00744486"/>
    <w:rsid w:val="007452CC"/>
    <w:rsid w:val="0074542B"/>
    <w:rsid w:val="00747308"/>
    <w:rsid w:val="00752F96"/>
    <w:rsid w:val="007543B9"/>
    <w:rsid w:val="007549AB"/>
    <w:rsid w:val="00762AB1"/>
    <w:rsid w:val="007646A5"/>
    <w:rsid w:val="00766EC3"/>
    <w:rsid w:val="0077328D"/>
    <w:rsid w:val="00775152"/>
    <w:rsid w:val="00783F14"/>
    <w:rsid w:val="00786DB4"/>
    <w:rsid w:val="007921A9"/>
    <w:rsid w:val="00794A63"/>
    <w:rsid w:val="007A28D2"/>
    <w:rsid w:val="007B280C"/>
    <w:rsid w:val="007B4137"/>
    <w:rsid w:val="007B4A82"/>
    <w:rsid w:val="007C1966"/>
    <w:rsid w:val="007C1EDF"/>
    <w:rsid w:val="007C3993"/>
    <w:rsid w:val="007C4EAB"/>
    <w:rsid w:val="007D1593"/>
    <w:rsid w:val="007D1BD6"/>
    <w:rsid w:val="007D35E6"/>
    <w:rsid w:val="007E1D10"/>
    <w:rsid w:val="007E2F2D"/>
    <w:rsid w:val="007E4525"/>
    <w:rsid w:val="007E55DC"/>
    <w:rsid w:val="007F5FF8"/>
    <w:rsid w:val="008042D1"/>
    <w:rsid w:val="0080501E"/>
    <w:rsid w:val="00812A25"/>
    <w:rsid w:val="0081419E"/>
    <w:rsid w:val="00824B68"/>
    <w:rsid w:val="008278EF"/>
    <w:rsid w:val="00827FBD"/>
    <w:rsid w:val="0083337F"/>
    <w:rsid w:val="00833A8A"/>
    <w:rsid w:val="00833E88"/>
    <w:rsid w:val="00837B7B"/>
    <w:rsid w:val="00843B92"/>
    <w:rsid w:val="00851B54"/>
    <w:rsid w:val="00851E85"/>
    <w:rsid w:val="00852E87"/>
    <w:rsid w:val="00854ACA"/>
    <w:rsid w:val="008575C8"/>
    <w:rsid w:val="00860526"/>
    <w:rsid w:val="00863993"/>
    <w:rsid w:val="00864819"/>
    <w:rsid w:val="00865727"/>
    <w:rsid w:val="00874286"/>
    <w:rsid w:val="008761D6"/>
    <w:rsid w:val="00877323"/>
    <w:rsid w:val="008832AB"/>
    <w:rsid w:val="008854B3"/>
    <w:rsid w:val="008861CE"/>
    <w:rsid w:val="00887F8A"/>
    <w:rsid w:val="00891DFD"/>
    <w:rsid w:val="00893C1B"/>
    <w:rsid w:val="00894892"/>
    <w:rsid w:val="008949C8"/>
    <w:rsid w:val="00895604"/>
    <w:rsid w:val="00896D29"/>
    <w:rsid w:val="008A210A"/>
    <w:rsid w:val="008A256D"/>
    <w:rsid w:val="008A36E8"/>
    <w:rsid w:val="008A39E3"/>
    <w:rsid w:val="008A5009"/>
    <w:rsid w:val="008A70E9"/>
    <w:rsid w:val="008B2718"/>
    <w:rsid w:val="008B3754"/>
    <w:rsid w:val="008C364D"/>
    <w:rsid w:val="008C4981"/>
    <w:rsid w:val="008D2FC5"/>
    <w:rsid w:val="008E10C9"/>
    <w:rsid w:val="008E3091"/>
    <w:rsid w:val="008E5A15"/>
    <w:rsid w:val="008E703D"/>
    <w:rsid w:val="008F2EB8"/>
    <w:rsid w:val="008F38EE"/>
    <w:rsid w:val="008F3C3F"/>
    <w:rsid w:val="008F4027"/>
    <w:rsid w:val="008F5A06"/>
    <w:rsid w:val="0090277C"/>
    <w:rsid w:val="00907E6A"/>
    <w:rsid w:val="00913344"/>
    <w:rsid w:val="009147EE"/>
    <w:rsid w:val="00914EA6"/>
    <w:rsid w:val="009160D7"/>
    <w:rsid w:val="00917480"/>
    <w:rsid w:val="00920273"/>
    <w:rsid w:val="00925D60"/>
    <w:rsid w:val="0093015F"/>
    <w:rsid w:val="00932AA5"/>
    <w:rsid w:val="00932ED7"/>
    <w:rsid w:val="0094026C"/>
    <w:rsid w:val="00942A2F"/>
    <w:rsid w:val="00953620"/>
    <w:rsid w:val="00971516"/>
    <w:rsid w:val="00975590"/>
    <w:rsid w:val="009766FA"/>
    <w:rsid w:val="00977EEB"/>
    <w:rsid w:val="00982EA0"/>
    <w:rsid w:val="00987750"/>
    <w:rsid w:val="0099156E"/>
    <w:rsid w:val="00993C62"/>
    <w:rsid w:val="00995B4D"/>
    <w:rsid w:val="009A00D8"/>
    <w:rsid w:val="009B191D"/>
    <w:rsid w:val="009B3171"/>
    <w:rsid w:val="009B429E"/>
    <w:rsid w:val="009C1873"/>
    <w:rsid w:val="009C3359"/>
    <w:rsid w:val="009C724D"/>
    <w:rsid w:val="009D1D9F"/>
    <w:rsid w:val="009D3B47"/>
    <w:rsid w:val="009D3FB8"/>
    <w:rsid w:val="009D425E"/>
    <w:rsid w:val="009D4EFF"/>
    <w:rsid w:val="009D5095"/>
    <w:rsid w:val="009E1D49"/>
    <w:rsid w:val="009E2084"/>
    <w:rsid w:val="009E2172"/>
    <w:rsid w:val="009E3832"/>
    <w:rsid w:val="009E55FE"/>
    <w:rsid w:val="009F1022"/>
    <w:rsid w:val="009F60ED"/>
    <w:rsid w:val="009F73ED"/>
    <w:rsid w:val="00A020F2"/>
    <w:rsid w:val="00A04860"/>
    <w:rsid w:val="00A06FF5"/>
    <w:rsid w:val="00A07569"/>
    <w:rsid w:val="00A1254B"/>
    <w:rsid w:val="00A12625"/>
    <w:rsid w:val="00A13148"/>
    <w:rsid w:val="00A14AC3"/>
    <w:rsid w:val="00A2330D"/>
    <w:rsid w:val="00A5004E"/>
    <w:rsid w:val="00A53404"/>
    <w:rsid w:val="00A5552F"/>
    <w:rsid w:val="00A622D2"/>
    <w:rsid w:val="00A64D44"/>
    <w:rsid w:val="00A65296"/>
    <w:rsid w:val="00A70EE4"/>
    <w:rsid w:val="00A80EB7"/>
    <w:rsid w:val="00A81ECC"/>
    <w:rsid w:val="00A84A64"/>
    <w:rsid w:val="00A92EBE"/>
    <w:rsid w:val="00A941A0"/>
    <w:rsid w:val="00AB05D2"/>
    <w:rsid w:val="00AB2E50"/>
    <w:rsid w:val="00AB7840"/>
    <w:rsid w:val="00AC312A"/>
    <w:rsid w:val="00AC7677"/>
    <w:rsid w:val="00AC7F49"/>
    <w:rsid w:val="00AD1036"/>
    <w:rsid w:val="00AD5D44"/>
    <w:rsid w:val="00AD79C8"/>
    <w:rsid w:val="00AD7E8E"/>
    <w:rsid w:val="00AE31A1"/>
    <w:rsid w:val="00AF5F32"/>
    <w:rsid w:val="00AF690F"/>
    <w:rsid w:val="00B04245"/>
    <w:rsid w:val="00B107B1"/>
    <w:rsid w:val="00B122A4"/>
    <w:rsid w:val="00B13C7C"/>
    <w:rsid w:val="00B23FCC"/>
    <w:rsid w:val="00B24B57"/>
    <w:rsid w:val="00B26D09"/>
    <w:rsid w:val="00B33724"/>
    <w:rsid w:val="00B354F1"/>
    <w:rsid w:val="00B370A4"/>
    <w:rsid w:val="00B44400"/>
    <w:rsid w:val="00B5190F"/>
    <w:rsid w:val="00B5279D"/>
    <w:rsid w:val="00B550E8"/>
    <w:rsid w:val="00B5550E"/>
    <w:rsid w:val="00B55D1D"/>
    <w:rsid w:val="00B605E2"/>
    <w:rsid w:val="00B65964"/>
    <w:rsid w:val="00B6622D"/>
    <w:rsid w:val="00B66EFD"/>
    <w:rsid w:val="00B810E3"/>
    <w:rsid w:val="00B8756E"/>
    <w:rsid w:val="00B9249E"/>
    <w:rsid w:val="00B92D97"/>
    <w:rsid w:val="00B93AEF"/>
    <w:rsid w:val="00BA1C1D"/>
    <w:rsid w:val="00BA236F"/>
    <w:rsid w:val="00BA486C"/>
    <w:rsid w:val="00BA6309"/>
    <w:rsid w:val="00BB0F3A"/>
    <w:rsid w:val="00BB407A"/>
    <w:rsid w:val="00BB6F5D"/>
    <w:rsid w:val="00BC28D8"/>
    <w:rsid w:val="00BC3466"/>
    <w:rsid w:val="00BD22AB"/>
    <w:rsid w:val="00BD35AC"/>
    <w:rsid w:val="00BD3CCC"/>
    <w:rsid w:val="00BF1C45"/>
    <w:rsid w:val="00C01D51"/>
    <w:rsid w:val="00C021A9"/>
    <w:rsid w:val="00C02950"/>
    <w:rsid w:val="00C05CD3"/>
    <w:rsid w:val="00C07A1F"/>
    <w:rsid w:val="00C108FE"/>
    <w:rsid w:val="00C11B6A"/>
    <w:rsid w:val="00C128B1"/>
    <w:rsid w:val="00C14A34"/>
    <w:rsid w:val="00C1533C"/>
    <w:rsid w:val="00C17865"/>
    <w:rsid w:val="00C178C0"/>
    <w:rsid w:val="00C20BA7"/>
    <w:rsid w:val="00C237F7"/>
    <w:rsid w:val="00C27BF5"/>
    <w:rsid w:val="00C3363E"/>
    <w:rsid w:val="00C37B2A"/>
    <w:rsid w:val="00C404CC"/>
    <w:rsid w:val="00C42285"/>
    <w:rsid w:val="00C53BD1"/>
    <w:rsid w:val="00C57313"/>
    <w:rsid w:val="00C5756D"/>
    <w:rsid w:val="00C5779F"/>
    <w:rsid w:val="00C57E95"/>
    <w:rsid w:val="00C60527"/>
    <w:rsid w:val="00C654F2"/>
    <w:rsid w:val="00C662F1"/>
    <w:rsid w:val="00C66EE8"/>
    <w:rsid w:val="00C74569"/>
    <w:rsid w:val="00C74D71"/>
    <w:rsid w:val="00C77890"/>
    <w:rsid w:val="00C77C33"/>
    <w:rsid w:val="00C83EA9"/>
    <w:rsid w:val="00C87774"/>
    <w:rsid w:val="00C9074B"/>
    <w:rsid w:val="00C92852"/>
    <w:rsid w:val="00C96477"/>
    <w:rsid w:val="00CA1EC9"/>
    <w:rsid w:val="00CA232F"/>
    <w:rsid w:val="00CA40C5"/>
    <w:rsid w:val="00CA5553"/>
    <w:rsid w:val="00CB0253"/>
    <w:rsid w:val="00CB05DF"/>
    <w:rsid w:val="00CB5CF4"/>
    <w:rsid w:val="00CB68A4"/>
    <w:rsid w:val="00CC0429"/>
    <w:rsid w:val="00CC0818"/>
    <w:rsid w:val="00CC2620"/>
    <w:rsid w:val="00CC2F26"/>
    <w:rsid w:val="00CD4185"/>
    <w:rsid w:val="00CD533D"/>
    <w:rsid w:val="00CD5C08"/>
    <w:rsid w:val="00CE4218"/>
    <w:rsid w:val="00CF1538"/>
    <w:rsid w:val="00CF1B55"/>
    <w:rsid w:val="00CF2F25"/>
    <w:rsid w:val="00CF43A0"/>
    <w:rsid w:val="00D06943"/>
    <w:rsid w:val="00D10AC2"/>
    <w:rsid w:val="00D13DE1"/>
    <w:rsid w:val="00D246A1"/>
    <w:rsid w:val="00D43CDE"/>
    <w:rsid w:val="00D441DC"/>
    <w:rsid w:val="00D50A37"/>
    <w:rsid w:val="00D547DA"/>
    <w:rsid w:val="00D609A8"/>
    <w:rsid w:val="00D61D78"/>
    <w:rsid w:val="00D65E0C"/>
    <w:rsid w:val="00D676AB"/>
    <w:rsid w:val="00D707C3"/>
    <w:rsid w:val="00D70CA1"/>
    <w:rsid w:val="00D7168B"/>
    <w:rsid w:val="00D862EE"/>
    <w:rsid w:val="00D86523"/>
    <w:rsid w:val="00D91C56"/>
    <w:rsid w:val="00D920DB"/>
    <w:rsid w:val="00D94D26"/>
    <w:rsid w:val="00D97DFF"/>
    <w:rsid w:val="00DA084B"/>
    <w:rsid w:val="00DA1DF7"/>
    <w:rsid w:val="00DA2946"/>
    <w:rsid w:val="00DB60A3"/>
    <w:rsid w:val="00DC0ED7"/>
    <w:rsid w:val="00DC458B"/>
    <w:rsid w:val="00DD0681"/>
    <w:rsid w:val="00DD20F6"/>
    <w:rsid w:val="00DD35B0"/>
    <w:rsid w:val="00DD481F"/>
    <w:rsid w:val="00DF6E64"/>
    <w:rsid w:val="00E00322"/>
    <w:rsid w:val="00E01B54"/>
    <w:rsid w:val="00E02A80"/>
    <w:rsid w:val="00E02CBE"/>
    <w:rsid w:val="00E04D6F"/>
    <w:rsid w:val="00E05C9D"/>
    <w:rsid w:val="00E11F48"/>
    <w:rsid w:val="00E137F1"/>
    <w:rsid w:val="00E157D0"/>
    <w:rsid w:val="00E2100A"/>
    <w:rsid w:val="00E2331F"/>
    <w:rsid w:val="00E25299"/>
    <w:rsid w:val="00E317DD"/>
    <w:rsid w:val="00E3598E"/>
    <w:rsid w:val="00E41D13"/>
    <w:rsid w:val="00E44D99"/>
    <w:rsid w:val="00E47C38"/>
    <w:rsid w:val="00E5387D"/>
    <w:rsid w:val="00E5691F"/>
    <w:rsid w:val="00E5769B"/>
    <w:rsid w:val="00E61ECA"/>
    <w:rsid w:val="00E62991"/>
    <w:rsid w:val="00E824A8"/>
    <w:rsid w:val="00E846B4"/>
    <w:rsid w:val="00E92D92"/>
    <w:rsid w:val="00E93A1E"/>
    <w:rsid w:val="00E93C79"/>
    <w:rsid w:val="00EA1286"/>
    <w:rsid w:val="00EA272B"/>
    <w:rsid w:val="00EB59C0"/>
    <w:rsid w:val="00EC31EB"/>
    <w:rsid w:val="00EC34AA"/>
    <w:rsid w:val="00EC5BCA"/>
    <w:rsid w:val="00EC7318"/>
    <w:rsid w:val="00ED1426"/>
    <w:rsid w:val="00ED19A8"/>
    <w:rsid w:val="00EE0F4D"/>
    <w:rsid w:val="00EE4D53"/>
    <w:rsid w:val="00EF31A9"/>
    <w:rsid w:val="00EF4DCD"/>
    <w:rsid w:val="00EF73A4"/>
    <w:rsid w:val="00F05869"/>
    <w:rsid w:val="00F07FED"/>
    <w:rsid w:val="00F12054"/>
    <w:rsid w:val="00F13AC1"/>
    <w:rsid w:val="00F14905"/>
    <w:rsid w:val="00F16F3F"/>
    <w:rsid w:val="00F220DE"/>
    <w:rsid w:val="00F30DB8"/>
    <w:rsid w:val="00F338BD"/>
    <w:rsid w:val="00F33DB2"/>
    <w:rsid w:val="00F34501"/>
    <w:rsid w:val="00F347C8"/>
    <w:rsid w:val="00F34ED9"/>
    <w:rsid w:val="00F35F27"/>
    <w:rsid w:val="00F36E47"/>
    <w:rsid w:val="00F43DD0"/>
    <w:rsid w:val="00F44DAF"/>
    <w:rsid w:val="00F51BA7"/>
    <w:rsid w:val="00F53946"/>
    <w:rsid w:val="00F56C4A"/>
    <w:rsid w:val="00F60EA0"/>
    <w:rsid w:val="00F640AB"/>
    <w:rsid w:val="00F641AC"/>
    <w:rsid w:val="00F67304"/>
    <w:rsid w:val="00F675CA"/>
    <w:rsid w:val="00F70ED3"/>
    <w:rsid w:val="00F7530C"/>
    <w:rsid w:val="00F76904"/>
    <w:rsid w:val="00F82BC3"/>
    <w:rsid w:val="00F94969"/>
    <w:rsid w:val="00F964F1"/>
    <w:rsid w:val="00FA5351"/>
    <w:rsid w:val="00FA77CE"/>
    <w:rsid w:val="00FB028F"/>
    <w:rsid w:val="00FB3332"/>
    <w:rsid w:val="00FB585F"/>
    <w:rsid w:val="00FB5C6A"/>
    <w:rsid w:val="00FB68B8"/>
    <w:rsid w:val="00FC1D14"/>
    <w:rsid w:val="00FC30A2"/>
    <w:rsid w:val="00FC3A52"/>
    <w:rsid w:val="00FC4110"/>
    <w:rsid w:val="00FC43C3"/>
    <w:rsid w:val="00FC7E92"/>
    <w:rsid w:val="00FD0A98"/>
    <w:rsid w:val="00FD19FD"/>
    <w:rsid w:val="00FD4FE2"/>
    <w:rsid w:val="00FD69FD"/>
    <w:rsid w:val="00FE0DDC"/>
    <w:rsid w:val="00FE37B2"/>
    <w:rsid w:val="00FE7DCE"/>
    <w:rsid w:val="00FF0DA3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2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4A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2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4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8" Type="http://schemas.openxmlformats.org/officeDocument/2006/relationships/image" Target="media/image2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8009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192</cp:revision>
  <dcterms:created xsi:type="dcterms:W3CDTF">2019-08-06T00:12:00Z</dcterms:created>
  <dcterms:modified xsi:type="dcterms:W3CDTF">2022-09-01T19:15:00Z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